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58" w:rsidRPr="007D3658" w:rsidRDefault="006D448E" w:rsidP="00DA25DF">
      <w:pPr>
        <w:spacing w:line="360" w:lineRule="auto"/>
        <w:jc w:val="center"/>
        <w:rPr>
          <w:rFonts w:ascii="黑体" w:eastAsia="黑体" w:hAnsiTheme="majorEastAsia" w:cs="宋体"/>
          <w:color w:val="000000"/>
          <w:kern w:val="0"/>
          <w:sz w:val="36"/>
          <w:szCs w:val="36"/>
        </w:rPr>
      </w:pPr>
      <w:r w:rsidRPr="007D3658">
        <w:rPr>
          <w:rFonts w:ascii="黑体" w:eastAsia="黑体" w:hAnsiTheme="majorEastAsia" w:cs="宋体" w:hint="eastAsia"/>
          <w:color w:val="000000"/>
          <w:kern w:val="0"/>
          <w:sz w:val="36"/>
          <w:szCs w:val="36"/>
        </w:rPr>
        <w:t>湖南工程学院二级网站管理</w:t>
      </w:r>
      <w:r w:rsidR="0055391A" w:rsidRPr="007D3658">
        <w:rPr>
          <w:rFonts w:ascii="黑体" w:eastAsia="黑体" w:hAnsiTheme="majorEastAsia" w:cs="宋体" w:hint="eastAsia"/>
          <w:color w:val="000000"/>
          <w:kern w:val="0"/>
          <w:sz w:val="36"/>
          <w:szCs w:val="36"/>
        </w:rPr>
        <w:t>办法</w:t>
      </w:r>
    </w:p>
    <w:p w:rsidR="00DA25DF" w:rsidRPr="00DA25DF" w:rsidRDefault="00DA25DF" w:rsidP="00DA25DF">
      <w:pPr>
        <w:spacing w:line="360" w:lineRule="auto"/>
        <w:jc w:val="center"/>
        <w:rPr>
          <w:rFonts w:ascii="仿宋_GB2312" w:eastAsia="仿宋_GB2312" w:hAnsiTheme="majorEastAsia" w:cs="宋体"/>
          <w:b/>
          <w:color w:val="000000"/>
          <w:kern w:val="0"/>
          <w:sz w:val="30"/>
          <w:szCs w:val="30"/>
        </w:rPr>
      </w:pPr>
    </w:p>
    <w:p w:rsidR="00281E34" w:rsidRPr="00DA25DF" w:rsidRDefault="006D448E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为进一步</w:t>
      </w:r>
      <w:r w:rsidR="00281E34" w:rsidRPr="00DA25DF">
        <w:rPr>
          <w:rFonts w:ascii="仿宋_GB2312" w:eastAsia="仿宋_GB2312" w:hAnsiTheme="majorEastAsia" w:hint="eastAsia"/>
          <w:sz w:val="30"/>
          <w:szCs w:val="30"/>
        </w:rPr>
        <w:t>加强校园网信息资源</w:t>
      </w:r>
      <w:r w:rsidR="00C93912">
        <w:rPr>
          <w:rFonts w:ascii="仿宋_GB2312" w:eastAsia="仿宋_GB2312" w:hAnsiTheme="majorEastAsia" w:hint="eastAsia"/>
          <w:sz w:val="30"/>
          <w:szCs w:val="30"/>
        </w:rPr>
        <w:t>建设</w:t>
      </w:r>
      <w:r w:rsidR="00281E34" w:rsidRPr="00DA25DF">
        <w:rPr>
          <w:rFonts w:ascii="仿宋_GB2312" w:eastAsia="仿宋_GB2312" w:hAnsiTheme="majorEastAsia" w:hint="eastAsia"/>
          <w:sz w:val="30"/>
          <w:szCs w:val="30"/>
        </w:rPr>
        <w:t>，充分发挥计算机网络优势，全面体现学校的办学水平、办学实力和特色，不断扩大我校的社会知名度和影响力，特制定本办法。</w:t>
      </w:r>
    </w:p>
    <w:p w:rsidR="00281E34" w:rsidRPr="00DA25DF" w:rsidRDefault="00281E34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一、学校二级网站是指校直各单位制作和维护</w:t>
      </w:r>
      <w:r w:rsidR="00DA25DF">
        <w:rPr>
          <w:rFonts w:ascii="仿宋_GB2312" w:eastAsia="仿宋_GB2312" w:hAnsiTheme="majorEastAsia" w:hint="eastAsia"/>
          <w:sz w:val="30"/>
          <w:szCs w:val="30"/>
        </w:rPr>
        <w:t>、</w:t>
      </w:r>
      <w:r w:rsidRPr="00DA25DF">
        <w:rPr>
          <w:rFonts w:ascii="仿宋_GB2312" w:eastAsia="仿宋_GB2312" w:hAnsiTheme="majorEastAsia" w:hint="eastAsia"/>
          <w:sz w:val="30"/>
          <w:szCs w:val="30"/>
        </w:rPr>
        <w:t>并通过学校网站发布的部门网站或学院（部、中心）网站和</w:t>
      </w:r>
      <w:r w:rsidR="006C7637" w:rsidRPr="00DA25DF">
        <w:rPr>
          <w:rFonts w:ascii="仿宋_GB2312" w:eastAsia="仿宋_GB2312" w:hAnsiTheme="majorEastAsia" w:hint="eastAsia"/>
          <w:sz w:val="30"/>
          <w:szCs w:val="30"/>
        </w:rPr>
        <w:t>专题网站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，</w:t>
      </w:r>
      <w:r w:rsidRPr="00DA25DF">
        <w:rPr>
          <w:rFonts w:ascii="仿宋_GB2312" w:eastAsia="仿宋_GB2312" w:hAnsiTheme="majorEastAsia" w:hint="eastAsia"/>
          <w:sz w:val="30"/>
          <w:szCs w:val="30"/>
        </w:rPr>
        <w:t>是学校网站的重要组成部分。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充分发挥</w:t>
      </w:r>
      <w:r w:rsidRPr="00DA25DF">
        <w:rPr>
          <w:rFonts w:ascii="仿宋_GB2312" w:eastAsia="仿宋_GB2312" w:hAnsiTheme="majorEastAsia" w:hint="eastAsia"/>
          <w:sz w:val="30"/>
          <w:szCs w:val="30"/>
        </w:rPr>
        <w:t>二级网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站在教学、科研、管理、党建、宣传和思想政治教育工作中的作用，</w:t>
      </w:r>
      <w:r w:rsidRPr="00DA25DF">
        <w:rPr>
          <w:rFonts w:ascii="仿宋_GB2312" w:eastAsia="仿宋_GB2312" w:hAnsiTheme="majorEastAsia" w:hint="eastAsia"/>
          <w:sz w:val="30"/>
          <w:szCs w:val="30"/>
        </w:rPr>
        <w:t>对树立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学校良好形象，</w:t>
      </w:r>
      <w:r w:rsidRPr="00DA25DF">
        <w:rPr>
          <w:rFonts w:ascii="仿宋_GB2312" w:eastAsia="仿宋_GB2312" w:hAnsiTheme="majorEastAsia" w:hint="eastAsia"/>
          <w:sz w:val="30"/>
          <w:szCs w:val="30"/>
        </w:rPr>
        <w:t>展示二级单位工作进程和办学成果、办学积淀有着重要的作用。</w:t>
      </w:r>
    </w:p>
    <w:p w:rsidR="00281E34" w:rsidRPr="00DA25DF" w:rsidRDefault="00281E34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二、各二级网站建设必须遵守以下原则：</w:t>
      </w:r>
    </w:p>
    <w:p w:rsidR="006D448E" w:rsidRPr="00DA25DF" w:rsidRDefault="00281E34" w:rsidP="00DA25DF">
      <w:pPr>
        <w:spacing w:line="360" w:lineRule="auto"/>
        <w:ind w:firstLineChars="200" w:firstLine="600"/>
        <w:rPr>
          <w:rFonts w:ascii="仿宋_GB2312" w:eastAsia="仿宋_GB2312" w:hAnsiTheme="majorEastAsia"/>
          <w:b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1、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坚持正确的舆论导向，确保信息安全，弘扬社会主旋律，利用</w:t>
      </w:r>
      <w:r w:rsidR="005E2E1F" w:rsidRPr="00DA25DF">
        <w:rPr>
          <w:rFonts w:ascii="仿宋_GB2312" w:eastAsia="仿宋_GB2312" w:hAnsiTheme="majorEastAsia" w:hint="eastAsia"/>
          <w:sz w:val="30"/>
          <w:szCs w:val="30"/>
        </w:rPr>
        <w:t>好发挥好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网站宣传教育作用</w:t>
      </w:r>
      <w:r w:rsidRPr="00DA25DF">
        <w:rPr>
          <w:rFonts w:ascii="仿宋_GB2312" w:eastAsia="仿宋_GB2312" w:hAnsiTheme="majorEastAsia" w:hint="eastAsia"/>
          <w:sz w:val="30"/>
          <w:szCs w:val="30"/>
        </w:rPr>
        <w:t>。</w:t>
      </w:r>
    </w:p>
    <w:p w:rsidR="005E2E1F" w:rsidRPr="00DA25DF" w:rsidRDefault="00281E34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2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．各二级网站的宣传教育工作在学校党委统一领导下进行。各二级网站坚持“谁主管、谁负责，谁主办、谁负责”的原则，实行各二级单位</w:t>
      </w:r>
      <w:r w:rsidR="005E2E1F" w:rsidRPr="00DA25DF">
        <w:rPr>
          <w:rFonts w:ascii="仿宋_GB2312" w:eastAsia="仿宋_GB2312" w:hAnsiTheme="majorEastAsia" w:hint="eastAsia"/>
          <w:sz w:val="30"/>
          <w:szCs w:val="30"/>
        </w:rPr>
        <w:t>党委（党总支）书记和部门主要领导负责制，认真管理好本单位的网站。</w:t>
      </w:r>
    </w:p>
    <w:p w:rsidR="006D448E" w:rsidRPr="00DA25DF" w:rsidRDefault="005E2E1F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3．党委宣传部负责对各二级网站的监督和检查，对校内新开设网站和新增相关服务进行审批。各二级网站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配备网络管理员，负责及时更新本单位的网上信息，做好信息安全维护。</w:t>
      </w:r>
    </w:p>
    <w:p w:rsidR="006D448E" w:rsidRPr="00DA25DF" w:rsidRDefault="006D448E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二、为维护学校整体形象，增强宣传效果，各二级网站</w:t>
      </w:r>
      <w:r w:rsidR="00F250F6" w:rsidRPr="00DA25DF">
        <w:rPr>
          <w:rFonts w:ascii="仿宋_GB2312" w:eastAsia="仿宋_GB2312" w:hAnsiTheme="majorEastAsia" w:hint="eastAsia"/>
          <w:sz w:val="30"/>
          <w:szCs w:val="30"/>
        </w:rPr>
        <w:t>内容</w:t>
      </w:r>
      <w:r w:rsidRPr="00DA25DF">
        <w:rPr>
          <w:rFonts w:ascii="仿宋_GB2312" w:eastAsia="仿宋_GB2312" w:hAnsiTheme="majorEastAsia" w:hint="eastAsia"/>
          <w:sz w:val="30"/>
          <w:szCs w:val="30"/>
        </w:rPr>
        <w:t>建设必须符合以下要求：</w:t>
      </w:r>
    </w:p>
    <w:p w:rsidR="006D448E" w:rsidRPr="00DA25DF" w:rsidRDefault="006D448E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lastRenderedPageBreak/>
        <w:t>1．各二级网站的版式设计、视觉设计应力求简洁明快，美观大方，色彩搭配协调。</w:t>
      </w:r>
    </w:p>
    <w:p w:rsidR="006D448E" w:rsidRPr="00DA25DF" w:rsidRDefault="006D448E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2．各二级网站栏目的设置要求简洁明了，便利实用，具体要求如下：</w:t>
      </w:r>
    </w:p>
    <w:p w:rsidR="006D448E" w:rsidRPr="00DA25DF" w:rsidRDefault="006D448E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首页基本要素应包括：</w:t>
      </w:r>
    </w:p>
    <w:p w:rsidR="006D448E" w:rsidRPr="00DA25DF" w:rsidRDefault="00F250F6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（1）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校名、网站名、网站主办单位或部门、联系电话和信箱、学校网站首页的链接。</w:t>
      </w:r>
    </w:p>
    <w:p w:rsidR="006D448E" w:rsidRPr="00DA25DF" w:rsidRDefault="00F250F6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（2）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管理服务部门网站栏目设置与内容要与工作业务紧密结合，突出办事流程。网站栏目一般应包括：部门简介、机构设置（部门负责人及联系方式）、工作职责、办事指南（办事流程、常用下载）、工作动态、公告通知、文件</w:t>
      </w:r>
      <w:r w:rsidR="006C7637" w:rsidRPr="00DA25DF">
        <w:rPr>
          <w:rFonts w:ascii="仿宋_GB2312" w:eastAsia="仿宋_GB2312" w:hAnsiTheme="majorEastAsia" w:hint="eastAsia"/>
          <w:sz w:val="30"/>
          <w:szCs w:val="30"/>
        </w:rPr>
        <w:t>汇编</w:t>
      </w:r>
      <w:r w:rsidR="00CD7832" w:rsidRPr="00DA25DF">
        <w:rPr>
          <w:rFonts w:ascii="仿宋_GB2312" w:eastAsia="仿宋_GB2312" w:hAnsiTheme="majorEastAsia" w:hint="eastAsia"/>
          <w:sz w:val="30"/>
          <w:szCs w:val="30"/>
        </w:rPr>
        <w:t>、政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务公开等栏目</w:t>
      </w:r>
      <w:r w:rsidR="005E2E1F" w:rsidRPr="00DA25DF">
        <w:rPr>
          <w:rFonts w:ascii="仿宋_GB2312" w:eastAsia="仿宋_GB2312" w:hAnsiTheme="majorEastAsia" w:hint="eastAsia"/>
          <w:sz w:val="30"/>
          <w:szCs w:val="30"/>
        </w:rPr>
        <w:t>，注意信息内外有别，禁止将涉及工作秘密的内容上网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。（</w:t>
      </w:r>
      <w:r w:rsidR="005E2E1F" w:rsidRPr="00DA25DF">
        <w:rPr>
          <w:rFonts w:ascii="仿宋_GB2312" w:eastAsia="仿宋_GB2312" w:hAnsiTheme="majorEastAsia" w:hint="eastAsia"/>
          <w:sz w:val="30"/>
          <w:szCs w:val="30"/>
        </w:rPr>
        <w:t>栏目设置参考标准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具体要求见附件1）</w:t>
      </w:r>
    </w:p>
    <w:p w:rsidR="006D448E" w:rsidRPr="00DA25DF" w:rsidRDefault="00F250F6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（3）</w:t>
      </w:r>
      <w:r w:rsidR="005E2E1F" w:rsidRPr="00DA25DF">
        <w:rPr>
          <w:rFonts w:ascii="仿宋_GB2312" w:eastAsia="仿宋_GB2312" w:hAnsiTheme="majorEastAsia" w:hint="eastAsia"/>
          <w:sz w:val="30"/>
          <w:szCs w:val="30"/>
        </w:rPr>
        <w:t>学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院</w:t>
      </w:r>
      <w:r w:rsidR="005E2E1F" w:rsidRPr="00DA25DF">
        <w:rPr>
          <w:rFonts w:ascii="仿宋_GB2312" w:eastAsia="仿宋_GB2312" w:hAnsiTheme="majorEastAsia" w:hint="eastAsia"/>
          <w:sz w:val="30"/>
          <w:szCs w:val="30"/>
        </w:rPr>
        <w:t>（部、中心）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网站</w:t>
      </w:r>
      <w:r w:rsidR="005E2E1F" w:rsidRPr="00DA25DF">
        <w:rPr>
          <w:rFonts w:ascii="仿宋_GB2312" w:eastAsia="仿宋_GB2312" w:hAnsiTheme="majorEastAsia" w:hint="eastAsia"/>
          <w:sz w:val="30"/>
          <w:szCs w:val="30"/>
        </w:rPr>
        <w:t>应体现人才培养中心工作，展示好学院、学科、学人、学生的信息，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栏目设置和内容要进一步突出教学科研、人才培养等中心工作。网站栏目一般应包括：院</w:t>
      </w:r>
      <w:r w:rsidR="006C7637" w:rsidRPr="00DA25DF">
        <w:rPr>
          <w:rFonts w:ascii="仿宋_GB2312" w:eastAsia="仿宋_GB2312" w:hAnsiTheme="majorEastAsia" w:hint="eastAsia"/>
          <w:sz w:val="30"/>
          <w:szCs w:val="30"/>
        </w:rPr>
        <w:t>（部）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概况、机构设置</w:t>
      </w:r>
      <w:r w:rsidR="00CD7832" w:rsidRPr="00DA25DF">
        <w:rPr>
          <w:rFonts w:ascii="仿宋_GB2312" w:eastAsia="仿宋_GB2312" w:hAnsiTheme="majorEastAsia" w:hint="eastAsia"/>
          <w:sz w:val="30"/>
          <w:szCs w:val="30"/>
        </w:rPr>
        <w:t>（</w:t>
      </w:r>
      <w:r w:rsidR="00DA25DF">
        <w:rPr>
          <w:rFonts w:ascii="仿宋_GB2312" w:eastAsia="仿宋_GB2312" w:hAnsiTheme="majorEastAsia" w:hint="eastAsia"/>
          <w:sz w:val="30"/>
          <w:szCs w:val="30"/>
        </w:rPr>
        <w:t>班子成员</w:t>
      </w:r>
      <w:r w:rsidR="00CD7832" w:rsidRPr="00DA25DF">
        <w:rPr>
          <w:rFonts w:ascii="仿宋_GB2312" w:eastAsia="仿宋_GB2312" w:hAnsiTheme="majorEastAsia" w:hint="eastAsia"/>
          <w:sz w:val="30"/>
          <w:szCs w:val="30"/>
        </w:rPr>
        <w:t>及联系方式）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、学科专业、教育教学（师资队伍、学科建设、人才培养）、</w:t>
      </w:r>
      <w:r w:rsidR="006C7637" w:rsidRPr="00DA25DF">
        <w:rPr>
          <w:rFonts w:ascii="仿宋_GB2312" w:eastAsia="仿宋_GB2312" w:hAnsiTheme="majorEastAsia" w:hint="eastAsia"/>
          <w:sz w:val="30"/>
          <w:szCs w:val="30"/>
        </w:rPr>
        <w:t>公告通知、院（部）</w:t>
      </w:r>
      <w:r w:rsidR="00CD7832" w:rsidRPr="00DA25DF">
        <w:rPr>
          <w:rFonts w:ascii="仿宋_GB2312" w:eastAsia="仿宋_GB2312" w:hAnsiTheme="majorEastAsia" w:hint="eastAsia"/>
          <w:sz w:val="30"/>
          <w:szCs w:val="30"/>
        </w:rPr>
        <w:t>动态、学生及党建工作、招生就业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等</w:t>
      </w:r>
      <w:r w:rsidR="005E2E1F" w:rsidRPr="00DA25DF">
        <w:rPr>
          <w:rFonts w:ascii="仿宋_GB2312" w:eastAsia="仿宋_GB2312" w:hAnsiTheme="majorEastAsia" w:hint="eastAsia"/>
          <w:sz w:val="30"/>
          <w:szCs w:val="30"/>
        </w:rPr>
        <w:t>，禁止将涉及工作秘密的内容（如教学大纲、青年教师培养过程信息、人事劳资信息等）及一些负面信息上网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（</w:t>
      </w:r>
      <w:r w:rsidR="005E2E1F" w:rsidRPr="00DA25DF">
        <w:rPr>
          <w:rFonts w:ascii="仿宋_GB2312" w:eastAsia="仿宋_GB2312" w:hAnsiTheme="majorEastAsia" w:hint="eastAsia"/>
          <w:sz w:val="30"/>
          <w:szCs w:val="30"/>
        </w:rPr>
        <w:t>栏目设置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具体要求见附件2）</w:t>
      </w:r>
      <w:r w:rsidR="00DA25DF">
        <w:rPr>
          <w:rFonts w:ascii="仿宋_GB2312" w:eastAsia="仿宋_GB2312" w:hAnsiTheme="majorEastAsia" w:hint="eastAsia"/>
          <w:sz w:val="30"/>
          <w:szCs w:val="30"/>
        </w:rPr>
        <w:t>。</w:t>
      </w:r>
    </w:p>
    <w:p w:rsidR="006D448E" w:rsidRPr="00DA25DF" w:rsidRDefault="006D448E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3．各二级网站使用学校校名、校徽及</w:t>
      </w:r>
      <w:r w:rsidR="006C7637" w:rsidRPr="00DA25DF">
        <w:rPr>
          <w:rFonts w:ascii="仿宋_GB2312" w:eastAsia="仿宋_GB2312" w:hAnsiTheme="majorEastAsia" w:hint="eastAsia"/>
          <w:sz w:val="30"/>
          <w:szCs w:val="30"/>
        </w:rPr>
        <w:t>其他</w:t>
      </w:r>
      <w:r w:rsidRPr="00DA25DF">
        <w:rPr>
          <w:rFonts w:ascii="仿宋_GB2312" w:eastAsia="仿宋_GB2312" w:hAnsiTheme="majorEastAsia" w:hint="eastAsia"/>
          <w:sz w:val="30"/>
          <w:szCs w:val="30"/>
        </w:rPr>
        <w:t>称谓、标志、图</w:t>
      </w:r>
      <w:r w:rsidRPr="00DA25DF">
        <w:rPr>
          <w:rFonts w:ascii="仿宋_GB2312" w:eastAsia="仿宋_GB2312" w:hAnsiTheme="majorEastAsia" w:hint="eastAsia"/>
          <w:sz w:val="30"/>
          <w:szCs w:val="30"/>
        </w:rPr>
        <w:lastRenderedPageBreak/>
        <w:t>案、图片等作为版权信息时必须规范。网页中引用学校发布的信息时，必须与学校网站保持一致。</w:t>
      </w:r>
    </w:p>
    <w:p w:rsidR="006D448E" w:rsidRPr="00DA25DF" w:rsidRDefault="006D448E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4．在网上发布信息或内容，要做到更新及时、准确，杜绝网页内容长期不更新的现象。将空白的、点击不了的、长期不更新的子网页和栏目予以撤销</w:t>
      </w:r>
      <w:r w:rsidR="00CD7832" w:rsidRPr="00DA25DF">
        <w:rPr>
          <w:rFonts w:ascii="仿宋_GB2312" w:eastAsia="仿宋_GB2312" w:hAnsiTheme="majorEastAsia" w:hint="eastAsia"/>
          <w:sz w:val="30"/>
          <w:szCs w:val="30"/>
        </w:rPr>
        <w:t>。</w:t>
      </w:r>
    </w:p>
    <w:p w:rsidR="006D448E" w:rsidRPr="00DA25DF" w:rsidRDefault="006D448E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5．网站信息</w:t>
      </w:r>
      <w:r w:rsidR="00CD7832" w:rsidRPr="00DA25DF">
        <w:rPr>
          <w:rFonts w:ascii="仿宋_GB2312" w:eastAsia="仿宋_GB2312" w:hAnsiTheme="majorEastAsia" w:hint="eastAsia"/>
          <w:sz w:val="30"/>
          <w:szCs w:val="30"/>
        </w:rPr>
        <w:t>发布</w:t>
      </w:r>
      <w:r w:rsidRPr="00DA25DF">
        <w:rPr>
          <w:rFonts w:ascii="仿宋_GB2312" w:eastAsia="仿宋_GB2312" w:hAnsiTheme="majorEastAsia" w:hint="eastAsia"/>
          <w:sz w:val="30"/>
          <w:szCs w:val="30"/>
        </w:rPr>
        <w:t>应规范准确，提高网站管理人员的业务水平，发布的信息字词正确、语句通顺、条理清楚，图片、文字大小规范统一，清晰美观。</w:t>
      </w:r>
    </w:p>
    <w:p w:rsidR="005E2E1F" w:rsidRPr="00DA25DF" w:rsidRDefault="005E2E1F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三、二</w:t>
      </w:r>
      <w:r w:rsidR="00325566" w:rsidRPr="00DA25DF">
        <w:rPr>
          <w:rFonts w:ascii="仿宋_GB2312" w:eastAsia="仿宋_GB2312" w:hAnsiTheme="majorEastAsia" w:hint="eastAsia"/>
          <w:sz w:val="30"/>
          <w:szCs w:val="30"/>
        </w:rPr>
        <w:t>级</w:t>
      </w:r>
      <w:r w:rsidRPr="00DA25DF">
        <w:rPr>
          <w:rFonts w:ascii="仿宋_GB2312" w:eastAsia="仿宋_GB2312" w:hAnsiTheme="majorEastAsia" w:hint="eastAsia"/>
          <w:sz w:val="30"/>
          <w:szCs w:val="30"/>
        </w:rPr>
        <w:t>网站日常管理要求：</w:t>
      </w:r>
    </w:p>
    <w:p w:rsidR="005111AC" w:rsidRPr="00DA25DF" w:rsidRDefault="005E2E1F" w:rsidP="005111AC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1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．</w:t>
      </w:r>
      <w:r w:rsidR="005111AC" w:rsidRPr="00DA25DF">
        <w:rPr>
          <w:rFonts w:ascii="仿宋_GB2312" w:eastAsia="仿宋_GB2312" w:hAnsiTheme="majorEastAsia" w:hint="eastAsia"/>
          <w:sz w:val="30"/>
          <w:szCs w:val="30"/>
        </w:rPr>
        <w:t>需要新开设二级网站的单位，需向学校信息化工作领导小组办公室（办公室设在网络信息中心）提交二级网站开通申请，同时将设计制作完成的网站上报审查，审查无误后，与学校签订二级网站安全管理责任书，方可开通网站。</w:t>
      </w:r>
    </w:p>
    <w:p w:rsidR="00325566" w:rsidRPr="00DA25DF" w:rsidRDefault="005111AC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2、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各二级网站</w:t>
      </w:r>
      <w:r w:rsidR="00325566" w:rsidRPr="00DA25DF">
        <w:rPr>
          <w:rFonts w:ascii="仿宋_GB2312" w:eastAsia="仿宋_GB2312" w:hAnsiTheme="majorEastAsia" w:hint="eastAsia"/>
          <w:sz w:val="30"/>
          <w:szCs w:val="30"/>
        </w:rPr>
        <w:t>确定一名网站管理人员，负责本单位网站技术维护和信息更新。网站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管理人员每天应对本单位网站、其</w:t>
      </w:r>
      <w:r w:rsidR="00F250F6" w:rsidRPr="00DA25DF">
        <w:rPr>
          <w:rFonts w:ascii="仿宋_GB2312" w:eastAsia="仿宋_GB2312" w:hAnsiTheme="majorEastAsia" w:hint="eastAsia"/>
          <w:sz w:val="30"/>
          <w:szCs w:val="30"/>
        </w:rPr>
        <w:t>他</w:t>
      </w:r>
      <w:r w:rsidR="0055391A" w:rsidRPr="00DA25DF">
        <w:rPr>
          <w:rFonts w:ascii="仿宋_GB2312" w:eastAsia="仿宋_GB2312" w:hAnsiTheme="majorEastAsia" w:hint="eastAsia"/>
          <w:sz w:val="30"/>
          <w:szCs w:val="30"/>
        </w:rPr>
        <w:t>网络服务内容进行检查。</w:t>
      </w:r>
    </w:p>
    <w:p w:rsidR="00325566" w:rsidRPr="00DA25DF" w:rsidRDefault="00325566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3、网站管理员要保留好自己的账户和密码，确保密码不外泄，密码原则上每三个月更新一次，人员换岗后，要及时做好网站密码的交接工作。</w:t>
      </w:r>
    </w:p>
    <w:p w:rsidR="006D448E" w:rsidRPr="00DA25DF" w:rsidRDefault="00325566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4、网站管理人员</w:t>
      </w:r>
      <w:r w:rsidR="0055391A" w:rsidRPr="00DA25DF">
        <w:rPr>
          <w:rFonts w:ascii="仿宋_GB2312" w:eastAsia="仿宋_GB2312" w:hAnsiTheme="majorEastAsia" w:hint="eastAsia"/>
          <w:sz w:val="30"/>
          <w:szCs w:val="30"/>
        </w:rPr>
        <w:t>如在网站上发现不良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信息，在条件许可的情况下首先采用断网处理的方法，防止</w:t>
      </w:r>
      <w:r w:rsidR="0055391A" w:rsidRPr="00DA25DF">
        <w:rPr>
          <w:rFonts w:ascii="仿宋_GB2312" w:eastAsia="仿宋_GB2312" w:hAnsiTheme="majorEastAsia" w:hint="eastAsia"/>
          <w:sz w:val="30"/>
          <w:szCs w:val="30"/>
        </w:rPr>
        <w:t>不良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信息的继续传播</w:t>
      </w:r>
      <w:r w:rsidR="00F250F6" w:rsidRPr="00DA25DF">
        <w:rPr>
          <w:rFonts w:ascii="仿宋_GB2312" w:eastAsia="仿宋_GB2312" w:hAnsiTheme="majorEastAsia" w:hint="eastAsia"/>
          <w:sz w:val="30"/>
          <w:szCs w:val="30"/>
        </w:rPr>
        <w:t>，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然后立即保存该页面，同时检查日志的完整性，并及时报告宣传部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lastRenderedPageBreak/>
        <w:t>和网络信息中心，提交保存的页面文件，由网络信息中心搜查其来源，查找原因，并提出处理意见。</w:t>
      </w:r>
    </w:p>
    <w:p w:rsidR="006D448E" w:rsidRDefault="00325566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5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．学校</w:t>
      </w:r>
      <w:r w:rsidR="0055391A" w:rsidRPr="00DA25DF">
        <w:rPr>
          <w:rFonts w:ascii="仿宋_GB2312" w:eastAsia="仿宋_GB2312" w:hAnsiTheme="majorEastAsia" w:hint="eastAsia"/>
          <w:sz w:val="30"/>
          <w:szCs w:val="30"/>
        </w:rPr>
        <w:t>各单位对于二级网站的更新情况需要备案登记，每个学期末需要向宣传部提交半年度更新情况列表</w:t>
      </w:r>
      <w:r w:rsidR="00C93912">
        <w:rPr>
          <w:rFonts w:ascii="仿宋_GB2312" w:eastAsia="仿宋_GB2312" w:hAnsiTheme="majorEastAsia" w:hint="eastAsia"/>
          <w:sz w:val="30"/>
          <w:szCs w:val="30"/>
        </w:rPr>
        <w:t>（一般要求学院每周更新至少2条以上，机关部门每周至少一条以上。）</w:t>
      </w:r>
      <w:r w:rsidR="0055391A" w:rsidRPr="00DA25DF">
        <w:rPr>
          <w:rFonts w:ascii="仿宋_GB2312" w:eastAsia="仿宋_GB2312" w:hAnsiTheme="majorEastAsia" w:hint="eastAsia"/>
          <w:sz w:val="30"/>
          <w:szCs w:val="30"/>
        </w:rPr>
        <w:t>宣传部也将组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织</w:t>
      </w:r>
      <w:r w:rsidR="0055391A" w:rsidRPr="00DA25DF">
        <w:rPr>
          <w:rFonts w:ascii="仿宋_GB2312" w:eastAsia="仿宋_GB2312" w:hAnsiTheme="majorEastAsia" w:hint="eastAsia"/>
          <w:sz w:val="30"/>
          <w:szCs w:val="30"/>
        </w:rPr>
        <w:t>力量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对全校所有二级网站和</w:t>
      </w:r>
      <w:r w:rsidR="006C7637" w:rsidRPr="00DA25DF">
        <w:rPr>
          <w:rFonts w:ascii="仿宋_GB2312" w:eastAsia="仿宋_GB2312" w:hAnsiTheme="majorEastAsia" w:hint="eastAsia"/>
          <w:sz w:val="30"/>
          <w:szCs w:val="30"/>
        </w:rPr>
        <w:t>其他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网络服务开展</w:t>
      </w:r>
      <w:r w:rsidR="00F250F6" w:rsidRPr="00DA25DF">
        <w:rPr>
          <w:rFonts w:ascii="仿宋_GB2312" w:eastAsia="仿宋_GB2312" w:hAnsiTheme="majorEastAsia" w:hint="eastAsia"/>
          <w:sz w:val="30"/>
          <w:szCs w:val="30"/>
        </w:rPr>
        <w:t>不定期的</w:t>
      </w:r>
      <w:r w:rsidR="006D448E" w:rsidRPr="00DA25DF">
        <w:rPr>
          <w:rFonts w:ascii="仿宋_GB2312" w:eastAsia="仿宋_GB2312" w:hAnsiTheme="majorEastAsia" w:hint="eastAsia"/>
          <w:sz w:val="30"/>
          <w:szCs w:val="30"/>
        </w:rPr>
        <w:t>检查，</w:t>
      </w:r>
      <w:r w:rsidR="005111AC" w:rsidRPr="00DA25DF">
        <w:rPr>
          <w:rFonts w:ascii="仿宋_GB2312" w:eastAsia="仿宋_GB2312" w:hAnsiTheme="majorEastAsia" w:hint="eastAsia"/>
          <w:sz w:val="30"/>
          <w:szCs w:val="30"/>
        </w:rPr>
        <w:t>对二级网站建设和管理进行实时监督和年度考评，对于优秀网站的管理单位和个人进行表彰奖励，对</w:t>
      </w:r>
      <w:r w:rsidR="007D3658">
        <w:rPr>
          <w:rFonts w:ascii="仿宋_GB2312" w:eastAsia="仿宋_GB2312" w:hAnsiTheme="majorEastAsia" w:hint="eastAsia"/>
          <w:sz w:val="30"/>
          <w:szCs w:val="30"/>
        </w:rPr>
        <w:t>管理不善的</w:t>
      </w:r>
      <w:r w:rsidR="005111AC" w:rsidRPr="00DA25DF">
        <w:rPr>
          <w:rFonts w:ascii="仿宋_GB2312" w:eastAsia="仿宋_GB2312" w:hAnsiTheme="majorEastAsia" w:hint="eastAsia"/>
          <w:sz w:val="30"/>
          <w:szCs w:val="30"/>
        </w:rPr>
        <w:t>二级网站或长期不更新内容的二级网站实施关停处理。</w:t>
      </w:r>
    </w:p>
    <w:p w:rsidR="007D3658" w:rsidRPr="00DA25DF" w:rsidRDefault="007D3658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6D448E" w:rsidRPr="00DA25DF" w:rsidRDefault="006D448E" w:rsidP="00DA25DF">
      <w:pPr>
        <w:spacing w:line="360" w:lineRule="auto"/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6D448E" w:rsidRPr="00DA25DF" w:rsidRDefault="006D448E" w:rsidP="00DA25DF">
      <w:pPr>
        <w:spacing w:line="360" w:lineRule="auto"/>
        <w:ind w:firstLineChars="200" w:firstLine="600"/>
        <w:jc w:val="right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党委宣传部</w:t>
      </w:r>
    </w:p>
    <w:p w:rsidR="00B26990" w:rsidRPr="00DA25DF" w:rsidRDefault="006D448E" w:rsidP="00DA25DF">
      <w:pPr>
        <w:spacing w:line="360" w:lineRule="auto"/>
        <w:ind w:firstLineChars="200" w:firstLine="600"/>
        <w:jc w:val="right"/>
        <w:rPr>
          <w:rFonts w:ascii="仿宋_GB2312" w:eastAsia="仿宋_GB2312" w:hAnsiTheme="majorEastAsia"/>
          <w:sz w:val="30"/>
          <w:szCs w:val="30"/>
        </w:rPr>
      </w:pPr>
      <w:r w:rsidRPr="00DA25DF">
        <w:rPr>
          <w:rFonts w:ascii="仿宋_GB2312" w:eastAsia="仿宋_GB2312" w:hAnsiTheme="majorEastAsia" w:hint="eastAsia"/>
          <w:sz w:val="30"/>
          <w:szCs w:val="30"/>
        </w:rPr>
        <w:t>2017年</w:t>
      </w:r>
      <w:r w:rsidR="00D36839" w:rsidRPr="00DA25DF">
        <w:rPr>
          <w:rFonts w:ascii="仿宋_GB2312" w:eastAsia="仿宋_GB2312" w:hAnsiTheme="majorEastAsia" w:hint="eastAsia"/>
          <w:sz w:val="30"/>
          <w:szCs w:val="30"/>
        </w:rPr>
        <w:t>4</w:t>
      </w:r>
      <w:r w:rsidRPr="00DA25DF">
        <w:rPr>
          <w:rFonts w:ascii="仿宋_GB2312" w:eastAsia="仿宋_GB2312" w:hAnsiTheme="majorEastAsia" w:hint="eastAsia"/>
          <w:sz w:val="30"/>
          <w:szCs w:val="30"/>
        </w:rPr>
        <w:t>月1</w:t>
      </w:r>
      <w:r w:rsidR="007D3658">
        <w:rPr>
          <w:rFonts w:ascii="仿宋_GB2312" w:eastAsia="仿宋_GB2312" w:hAnsiTheme="majorEastAsia" w:hint="eastAsia"/>
          <w:sz w:val="30"/>
          <w:szCs w:val="30"/>
        </w:rPr>
        <w:t>8</w:t>
      </w:r>
      <w:r w:rsidRPr="00DA25DF">
        <w:rPr>
          <w:rFonts w:ascii="仿宋_GB2312" w:eastAsia="仿宋_GB2312" w:hAnsiTheme="majorEastAsia" w:hint="eastAsia"/>
          <w:sz w:val="30"/>
          <w:szCs w:val="30"/>
        </w:rPr>
        <w:t>日</w:t>
      </w:r>
    </w:p>
    <w:p w:rsidR="006D448E" w:rsidRDefault="006D448E" w:rsidP="006D448E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1F9C" w:rsidRDefault="002A1F9C" w:rsidP="006D448E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1F9C" w:rsidRDefault="002A1F9C" w:rsidP="006D448E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1F9C" w:rsidRDefault="002A1F9C" w:rsidP="006D448E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1F9C" w:rsidRDefault="002A1F9C" w:rsidP="006D448E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1F9C" w:rsidRDefault="002A1F9C" w:rsidP="006D448E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1F9C" w:rsidRDefault="002A1F9C" w:rsidP="006D448E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1F9C" w:rsidRDefault="002A1F9C" w:rsidP="006D448E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1F9C" w:rsidRDefault="002A1F9C" w:rsidP="006D448E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D448E" w:rsidRPr="002A1F9C" w:rsidRDefault="006D448E" w:rsidP="006D448E">
      <w:pPr>
        <w:rPr>
          <w:rFonts w:ascii="仿宋_GB2312" w:eastAsia="仿宋_GB2312" w:hAnsiTheme="majorEastAsia"/>
          <w:sz w:val="28"/>
          <w:szCs w:val="28"/>
        </w:rPr>
      </w:pPr>
      <w:r w:rsidRPr="002A1F9C">
        <w:rPr>
          <w:rFonts w:ascii="仿宋_GB2312" w:eastAsia="仿宋_GB2312" w:hAnsiTheme="majorEastAsia" w:hint="eastAsia"/>
          <w:sz w:val="28"/>
          <w:szCs w:val="28"/>
        </w:rPr>
        <w:lastRenderedPageBreak/>
        <w:t>附件1</w:t>
      </w:r>
      <w:r w:rsidR="002A1F9C">
        <w:rPr>
          <w:rFonts w:ascii="仿宋_GB2312" w:eastAsia="仿宋_GB2312" w:hAnsiTheme="majorEastAsia" w:hint="eastAsia"/>
          <w:sz w:val="28"/>
          <w:szCs w:val="28"/>
        </w:rPr>
        <w:t>：</w:t>
      </w:r>
    </w:p>
    <w:p w:rsidR="006D448E" w:rsidRPr="006D448E" w:rsidRDefault="00CD7832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D448E">
        <w:rPr>
          <w:rFonts w:asciiTheme="majorEastAsia" w:eastAsiaTheme="majorEastAsia" w:hAnsiTheme="majorEastAsia" w:hint="eastAsia"/>
          <w:b/>
          <w:sz w:val="28"/>
          <w:szCs w:val="28"/>
        </w:rPr>
        <w:t>职能部门</w:t>
      </w:r>
      <w:r w:rsidR="006D448E" w:rsidRPr="006D448E">
        <w:rPr>
          <w:rFonts w:asciiTheme="majorEastAsia" w:eastAsiaTheme="majorEastAsia" w:hAnsiTheme="majorEastAsia" w:hint="eastAsia"/>
          <w:b/>
          <w:sz w:val="28"/>
          <w:szCs w:val="28"/>
        </w:rPr>
        <w:t>网站栏目设置</w:t>
      </w:r>
      <w:r w:rsidR="00236EF9">
        <w:rPr>
          <w:rFonts w:asciiTheme="majorEastAsia" w:eastAsiaTheme="majorEastAsia" w:hAnsiTheme="majorEastAsia" w:hint="eastAsia"/>
          <w:b/>
          <w:sz w:val="28"/>
          <w:szCs w:val="28"/>
        </w:rPr>
        <w:t>及要求</w:t>
      </w:r>
      <w:r w:rsidR="006D448E" w:rsidRPr="006D448E">
        <w:rPr>
          <w:rFonts w:asciiTheme="majorEastAsia" w:eastAsiaTheme="majorEastAsia" w:hAnsiTheme="majorEastAsia" w:hint="eastAsia"/>
          <w:b/>
          <w:sz w:val="28"/>
          <w:szCs w:val="28"/>
        </w:rPr>
        <w:t>参考表</w:t>
      </w:r>
    </w:p>
    <w:p w:rsidR="006D448E" w:rsidRPr="0041602B" w:rsidRDefault="006D448E" w:rsidP="006D448E">
      <w:pPr>
        <w:ind w:firstLineChars="196" w:firstLine="412"/>
        <w:rPr>
          <w:rFonts w:ascii="宋体" w:eastAsia="宋体" w:hAnsi="宋体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1250"/>
        <w:gridCol w:w="1250"/>
        <w:gridCol w:w="5866"/>
      </w:tblGrid>
      <w:tr w:rsidR="006D448E" w:rsidRPr="0041602B" w:rsidTr="00B11898">
        <w:trPr>
          <w:trHeight w:val="641"/>
          <w:jc w:val="center"/>
        </w:trPr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5866" w:type="dxa"/>
            <w:vAlign w:val="center"/>
          </w:tcPr>
          <w:p w:rsidR="006D448E" w:rsidRPr="0041602B" w:rsidRDefault="006D448E" w:rsidP="006D448E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指标说明</w:t>
            </w:r>
          </w:p>
        </w:tc>
      </w:tr>
      <w:tr w:rsidR="006D448E" w:rsidRPr="0041602B" w:rsidTr="00B11898">
        <w:trPr>
          <w:trHeight w:val="641"/>
          <w:jc w:val="center"/>
        </w:trPr>
        <w:tc>
          <w:tcPr>
            <w:tcW w:w="1250" w:type="dxa"/>
            <w:vMerge w:val="restart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网站建设</w:t>
            </w:r>
          </w:p>
        </w:tc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网站制作</w:t>
            </w:r>
          </w:p>
        </w:tc>
        <w:tc>
          <w:tcPr>
            <w:tcW w:w="5866" w:type="dxa"/>
            <w:vAlign w:val="center"/>
          </w:tcPr>
          <w:p w:rsidR="006D448E" w:rsidRPr="0041602B" w:rsidRDefault="006D448E" w:rsidP="006D448E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41602B">
              <w:rPr>
                <w:rFonts w:ascii="宋体" w:eastAsia="宋体" w:hAnsi="宋体" w:cs="Times New Roman" w:hint="eastAsia"/>
              </w:rPr>
              <w:t>特色鲜明，页面规范、美观</w:t>
            </w:r>
          </w:p>
        </w:tc>
      </w:tr>
      <w:tr w:rsidR="006D448E" w:rsidRPr="0041602B" w:rsidTr="00B11898">
        <w:trPr>
          <w:trHeight w:val="641"/>
          <w:jc w:val="center"/>
        </w:trPr>
        <w:tc>
          <w:tcPr>
            <w:tcW w:w="1250" w:type="dxa"/>
            <w:vMerge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栏目建设</w:t>
            </w:r>
          </w:p>
        </w:tc>
        <w:tc>
          <w:tcPr>
            <w:tcW w:w="5866" w:type="dxa"/>
            <w:vAlign w:val="center"/>
          </w:tcPr>
          <w:p w:rsidR="006D448E" w:rsidRPr="0041602B" w:rsidRDefault="006D448E" w:rsidP="006D448E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41602B">
              <w:rPr>
                <w:rFonts w:ascii="宋体" w:eastAsia="宋体" w:hAnsi="宋体" w:cs="Times New Roman" w:hint="eastAsia"/>
              </w:rPr>
              <w:t>职能处室子站栏目内容与职能业务的结合程度</w:t>
            </w:r>
          </w:p>
        </w:tc>
      </w:tr>
      <w:tr w:rsidR="006D448E" w:rsidRPr="0041602B" w:rsidTr="00B11898">
        <w:trPr>
          <w:trHeight w:val="641"/>
          <w:jc w:val="center"/>
        </w:trPr>
        <w:tc>
          <w:tcPr>
            <w:tcW w:w="1250" w:type="dxa"/>
            <w:vMerge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更新维护</w:t>
            </w:r>
          </w:p>
        </w:tc>
        <w:tc>
          <w:tcPr>
            <w:tcW w:w="5866" w:type="dxa"/>
            <w:vAlign w:val="center"/>
          </w:tcPr>
          <w:p w:rsidR="006D448E" w:rsidRPr="0041602B" w:rsidRDefault="006D448E" w:rsidP="006D448E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41602B">
              <w:rPr>
                <w:rFonts w:ascii="宋体" w:eastAsia="宋体" w:hAnsi="宋体" w:cs="Times New Roman" w:hint="eastAsia"/>
              </w:rPr>
              <w:t>栏目内容更新的及时，没有空栏目</w:t>
            </w:r>
          </w:p>
        </w:tc>
      </w:tr>
      <w:tr w:rsidR="006D448E" w:rsidRPr="0041602B" w:rsidTr="00B11898">
        <w:trPr>
          <w:trHeight w:val="641"/>
          <w:jc w:val="center"/>
        </w:trPr>
        <w:tc>
          <w:tcPr>
            <w:tcW w:w="1250" w:type="dxa"/>
            <w:vMerge w:val="restart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信息公开</w:t>
            </w:r>
          </w:p>
        </w:tc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部门简介</w:t>
            </w:r>
          </w:p>
        </w:tc>
        <w:tc>
          <w:tcPr>
            <w:tcW w:w="5866" w:type="dxa"/>
            <w:vAlign w:val="center"/>
          </w:tcPr>
          <w:p w:rsidR="006D448E" w:rsidRPr="0041602B" w:rsidRDefault="006D448E" w:rsidP="006D448E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41602B">
              <w:rPr>
                <w:rFonts w:ascii="宋体" w:eastAsia="宋体" w:hAnsi="宋体" w:cs="Times New Roman" w:hint="eastAsia"/>
              </w:rPr>
              <w:t>部门简介、机构设置、部门负责人、工作职能等信息</w:t>
            </w:r>
          </w:p>
        </w:tc>
      </w:tr>
      <w:tr w:rsidR="006D448E" w:rsidRPr="0041602B" w:rsidTr="00B11898">
        <w:trPr>
          <w:trHeight w:val="641"/>
          <w:jc w:val="center"/>
        </w:trPr>
        <w:tc>
          <w:tcPr>
            <w:tcW w:w="1250" w:type="dxa"/>
            <w:vMerge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动态信息</w:t>
            </w:r>
          </w:p>
        </w:tc>
        <w:tc>
          <w:tcPr>
            <w:tcW w:w="5866" w:type="dxa"/>
            <w:vAlign w:val="center"/>
          </w:tcPr>
          <w:p w:rsidR="006D448E" w:rsidRPr="0041602B" w:rsidRDefault="006D448E" w:rsidP="006D448E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41602B">
              <w:rPr>
                <w:rFonts w:ascii="宋体" w:eastAsia="宋体" w:hAnsi="宋体" w:cs="Times New Roman" w:hint="eastAsia"/>
              </w:rPr>
              <w:t>部门通知公告、部门动态等发布情况</w:t>
            </w:r>
          </w:p>
        </w:tc>
      </w:tr>
      <w:tr w:rsidR="006D448E" w:rsidRPr="0041602B" w:rsidTr="00B11898">
        <w:trPr>
          <w:trHeight w:val="641"/>
          <w:jc w:val="center"/>
        </w:trPr>
        <w:tc>
          <w:tcPr>
            <w:tcW w:w="1250" w:type="dxa"/>
            <w:vMerge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政务公开</w:t>
            </w:r>
          </w:p>
        </w:tc>
        <w:tc>
          <w:tcPr>
            <w:tcW w:w="5866" w:type="dxa"/>
            <w:vAlign w:val="center"/>
          </w:tcPr>
          <w:p w:rsidR="006D448E" w:rsidRPr="0041602B" w:rsidRDefault="006D448E" w:rsidP="006D448E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41602B">
              <w:rPr>
                <w:rFonts w:ascii="宋体" w:eastAsia="宋体" w:hAnsi="宋体" w:cs="Times New Roman" w:hint="eastAsia"/>
              </w:rPr>
              <w:t>计划总结、文件查询等及</w:t>
            </w:r>
            <w:r w:rsidR="006C7637">
              <w:rPr>
                <w:rFonts w:ascii="宋体" w:eastAsia="宋体" w:hAnsi="宋体" w:cs="Times New Roman" w:hint="eastAsia"/>
              </w:rPr>
              <w:t>其他</w:t>
            </w:r>
            <w:r w:rsidRPr="0041602B">
              <w:rPr>
                <w:rFonts w:ascii="宋体" w:eastAsia="宋体" w:hAnsi="宋体" w:cs="Times New Roman" w:hint="eastAsia"/>
              </w:rPr>
              <w:t>信息公开情况</w:t>
            </w:r>
          </w:p>
        </w:tc>
      </w:tr>
      <w:tr w:rsidR="006D448E" w:rsidRPr="0041602B" w:rsidTr="00B11898">
        <w:trPr>
          <w:trHeight w:val="641"/>
          <w:jc w:val="center"/>
        </w:trPr>
        <w:tc>
          <w:tcPr>
            <w:tcW w:w="1250" w:type="dxa"/>
            <w:vMerge w:val="restart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办事能力</w:t>
            </w:r>
          </w:p>
        </w:tc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办事指南</w:t>
            </w:r>
          </w:p>
        </w:tc>
        <w:tc>
          <w:tcPr>
            <w:tcW w:w="5866" w:type="dxa"/>
            <w:vAlign w:val="center"/>
          </w:tcPr>
          <w:p w:rsidR="006D448E" w:rsidRPr="0041602B" w:rsidRDefault="006D448E" w:rsidP="006D448E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41602B">
              <w:rPr>
                <w:rFonts w:ascii="宋体" w:eastAsia="宋体" w:hAnsi="宋体" w:cs="Times New Roman" w:hint="eastAsia"/>
              </w:rPr>
              <w:t>与本部门相关的各类业务指南及工作流程发布情况</w:t>
            </w:r>
          </w:p>
        </w:tc>
      </w:tr>
      <w:tr w:rsidR="006D448E" w:rsidRPr="0041602B" w:rsidTr="00B11898">
        <w:trPr>
          <w:trHeight w:val="641"/>
          <w:jc w:val="center"/>
        </w:trPr>
        <w:tc>
          <w:tcPr>
            <w:tcW w:w="1250" w:type="dxa"/>
            <w:vMerge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在线办事</w:t>
            </w:r>
          </w:p>
        </w:tc>
        <w:tc>
          <w:tcPr>
            <w:tcW w:w="5866" w:type="dxa"/>
            <w:vAlign w:val="center"/>
          </w:tcPr>
          <w:p w:rsidR="006D448E" w:rsidRPr="0041602B" w:rsidRDefault="006D448E" w:rsidP="006D448E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41602B">
              <w:rPr>
                <w:rFonts w:ascii="宋体" w:eastAsia="宋体" w:hAnsi="宋体" w:cs="Times New Roman" w:hint="eastAsia"/>
              </w:rPr>
              <w:t>提供各类表格等下载，网络服务指引情况</w:t>
            </w:r>
          </w:p>
        </w:tc>
      </w:tr>
      <w:tr w:rsidR="006D448E" w:rsidRPr="0041602B" w:rsidTr="00B11898">
        <w:trPr>
          <w:trHeight w:val="802"/>
          <w:jc w:val="center"/>
        </w:trPr>
        <w:tc>
          <w:tcPr>
            <w:tcW w:w="1250" w:type="dxa"/>
            <w:vMerge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6D448E" w:rsidRPr="006D448E" w:rsidRDefault="006D448E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互动应用</w:t>
            </w:r>
          </w:p>
        </w:tc>
        <w:tc>
          <w:tcPr>
            <w:tcW w:w="5866" w:type="dxa"/>
            <w:vAlign w:val="center"/>
          </w:tcPr>
          <w:p w:rsidR="006D448E" w:rsidRPr="0041602B" w:rsidRDefault="006D448E" w:rsidP="006D448E">
            <w:pPr>
              <w:spacing w:line="360" w:lineRule="auto"/>
              <w:rPr>
                <w:rFonts w:ascii="宋体" w:eastAsia="宋体" w:hAnsi="宋体" w:cs="Times New Roman"/>
              </w:rPr>
            </w:pPr>
            <w:r w:rsidRPr="0041602B">
              <w:rPr>
                <w:rFonts w:ascii="宋体" w:eastAsia="宋体" w:hAnsi="宋体" w:cs="Times New Roman" w:hint="eastAsia"/>
              </w:rPr>
              <w:t>利用领导信箱、留言板、微博等新媒体手段与受众互动沟通解决实际问题情况</w:t>
            </w:r>
          </w:p>
        </w:tc>
      </w:tr>
    </w:tbl>
    <w:p w:rsidR="006D448E" w:rsidRDefault="006D448E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A1F9C" w:rsidRDefault="002A1F9C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A1F9C" w:rsidRDefault="002A1F9C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A1F9C" w:rsidRDefault="002A1F9C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A1F9C" w:rsidRDefault="002A1F9C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A1F9C" w:rsidRDefault="002A1F9C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A1F9C" w:rsidRDefault="002A1F9C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A1F9C" w:rsidRPr="0041602B" w:rsidRDefault="002A1F9C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D448E" w:rsidRPr="0041602B" w:rsidRDefault="006D448E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D448E" w:rsidRPr="006D448E" w:rsidRDefault="006D448E" w:rsidP="006D448E">
      <w:pPr>
        <w:rPr>
          <w:rFonts w:asciiTheme="majorEastAsia" w:eastAsiaTheme="majorEastAsia" w:hAnsiTheme="majorEastAsia"/>
          <w:sz w:val="28"/>
          <w:szCs w:val="28"/>
        </w:rPr>
      </w:pPr>
      <w:r w:rsidRPr="006D448E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附件2</w:t>
      </w:r>
    </w:p>
    <w:p w:rsidR="006D448E" w:rsidRPr="0041602B" w:rsidRDefault="00CD7832" w:rsidP="006D4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1602B">
        <w:rPr>
          <w:rFonts w:asciiTheme="majorEastAsia" w:eastAsiaTheme="majorEastAsia" w:hAnsiTheme="majorEastAsia" w:hint="eastAsia"/>
          <w:b/>
          <w:sz w:val="28"/>
          <w:szCs w:val="28"/>
        </w:rPr>
        <w:t>院系</w:t>
      </w:r>
      <w:r w:rsidR="006D448E" w:rsidRPr="0041602B">
        <w:rPr>
          <w:rFonts w:asciiTheme="majorEastAsia" w:eastAsiaTheme="majorEastAsia" w:hAnsiTheme="majorEastAsia" w:hint="eastAsia"/>
          <w:b/>
          <w:sz w:val="28"/>
          <w:szCs w:val="28"/>
        </w:rPr>
        <w:t>网站栏目设置</w:t>
      </w:r>
      <w:r w:rsidR="00236EF9">
        <w:rPr>
          <w:rFonts w:asciiTheme="majorEastAsia" w:eastAsiaTheme="majorEastAsia" w:hAnsiTheme="majorEastAsia" w:hint="eastAsia"/>
          <w:b/>
          <w:sz w:val="28"/>
          <w:szCs w:val="28"/>
        </w:rPr>
        <w:t>及要求</w:t>
      </w:r>
      <w:r w:rsidR="006D448E" w:rsidRPr="0041602B">
        <w:rPr>
          <w:rFonts w:asciiTheme="majorEastAsia" w:eastAsiaTheme="majorEastAsia" w:hAnsiTheme="majorEastAsia" w:hint="eastAsia"/>
          <w:b/>
          <w:sz w:val="28"/>
          <w:szCs w:val="28"/>
        </w:rPr>
        <w:t>参考表</w:t>
      </w:r>
    </w:p>
    <w:p w:rsidR="006D448E" w:rsidRPr="0041602B" w:rsidRDefault="006D448E" w:rsidP="006D448E">
      <w:pPr>
        <w:ind w:firstLineChars="196" w:firstLine="412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446"/>
        <w:gridCol w:w="5836"/>
      </w:tblGrid>
      <w:tr w:rsidR="006D448E" w:rsidRPr="0041602B" w:rsidTr="00B11898">
        <w:trPr>
          <w:trHeight w:val="630"/>
        </w:trPr>
        <w:tc>
          <w:tcPr>
            <w:tcW w:w="1240" w:type="dxa"/>
            <w:vAlign w:val="center"/>
          </w:tcPr>
          <w:p w:rsidR="006D448E" w:rsidRPr="006D448E" w:rsidRDefault="006D448E" w:rsidP="00B11898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1446" w:type="dxa"/>
            <w:vAlign w:val="center"/>
          </w:tcPr>
          <w:p w:rsidR="006D448E" w:rsidRPr="006D448E" w:rsidRDefault="006D448E" w:rsidP="00B11898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5836" w:type="dxa"/>
            <w:vAlign w:val="center"/>
          </w:tcPr>
          <w:p w:rsidR="006D448E" w:rsidRPr="0041602B" w:rsidRDefault="006D448E" w:rsidP="00B1189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41602B">
              <w:rPr>
                <w:rFonts w:asciiTheme="majorEastAsia" w:eastAsiaTheme="majorEastAsia" w:hAnsiTheme="majorEastAsia" w:hint="eastAsia"/>
                <w:b/>
              </w:rPr>
              <w:t>指标说明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 w:val="restart"/>
            <w:vAlign w:val="center"/>
          </w:tcPr>
          <w:p w:rsidR="00236EF9" w:rsidRPr="006D448E" w:rsidRDefault="00236EF9" w:rsidP="00B11898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网站建设</w:t>
            </w: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网站制作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特色鲜明、页面规范、美观，栏目设置合理，内容更新及时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子站建设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所属学院相关实验室、研究所建立子站并正常运行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专业科普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提供与各学院专业相关的专业知识科普园地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新媒体应用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新媒体技术在网站建设中的应用（如视频简介、官方微博互动等）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 w:val="restart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学院概况</w:t>
            </w: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学院介绍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学院概况、历史延革、学院荣誉等信息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学院领导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学院领导班子成员的照片、分管工作等信息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机构设置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学院主要机构（含党政机构，及系、所、实验室等机构）设置情况及简介、联系方式等信息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师资队伍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学院师资队伍概况；教授、讲师等基本信息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 w:val="restart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信息公开</w:t>
            </w: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通知公告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学校、学院相关工作的通知通告信息，以及工作要点、工作总结等信息，并及时更新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新闻动态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学院主要工作动态、新闻报道等信息，并及时更新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tcBorders>
              <w:bottom w:val="single" w:sz="4" w:space="0" w:color="auto"/>
            </w:tcBorders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院务公开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工作职责、文件资料、规章制度以及政策需公开的内容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 w:val="restart"/>
            <w:tcBorders>
              <w:top w:val="single" w:sz="4" w:space="0" w:color="auto"/>
            </w:tcBorders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教务教学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学科、专业</w:t>
            </w:r>
          </w:p>
        </w:tc>
        <w:tc>
          <w:tcPr>
            <w:tcW w:w="5836" w:type="dxa"/>
            <w:tcBorders>
              <w:top w:val="single" w:sz="4" w:space="0" w:color="auto"/>
            </w:tcBorders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学院学科和本科、硕士各个专业的相关信息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培养方案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学院本科、硕士各个专业的培养计划信息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课程设置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学院本科、硕士各个专业的课程设置信息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教学资源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学院教务教学有关信息、精品课程、教学实验室等信息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tcBorders>
              <w:bottom w:val="single" w:sz="4" w:space="0" w:color="auto"/>
            </w:tcBorders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教学服务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各种教学服务或服务接入（选课、实验，教室、课表、成绩等），学生教学环节的各类办事指引、表格下载等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 w:val="restart"/>
            <w:tcBorders>
              <w:top w:val="single" w:sz="4" w:space="0" w:color="auto"/>
            </w:tcBorders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科学研究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科研团队</w:t>
            </w:r>
          </w:p>
        </w:tc>
        <w:tc>
          <w:tcPr>
            <w:tcW w:w="5836" w:type="dxa"/>
            <w:tcBorders>
              <w:top w:val="single" w:sz="4" w:space="0" w:color="auto"/>
            </w:tcBorders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学院科研团队信息（团队实力、研究方向、主要成果等）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科研设施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学院重点科研实验室等信息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科研成果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学院各类科研项目成果介绍，并及时更新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学术活动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学院学术报告、学术交流动态信息，并及时更新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国际交流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学院科学研究、国际国内会议等各领域交流合作信息，并及时更新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 w:val="restart"/>
            <w:tcBorders>
              <w:top w:val="single" w:sz="4" w:space="0" w:color="auto"/>
            </w:tcBorders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学生工作</w:t>
            </w:r>
          </w:p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学工概况</w:t>
            </w:r>
          </w:p>
        </w:tc>
        <w:tc>
          <w:tcPr>
            <w:tcW w:w="5836" w:type="dxa"/>
            <w:tcBorders>
              <w:top w:val="single" w:sz="4" w:space="0" w:color="auto"/>
            </w:tcBorders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学院学生工作总体情况，以及辅导员工作等信息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奖助贷勤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学院奖学金、助学贷款、勤工俭学等信息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学生社团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学院学生组织、学生活动特别是品牌活动等信息，并及时更新</w:t>
            </w:r>
          </w:p>
        </w:tc>
      </w:tr>
      <w:tr w:rsidR="00236EF9" w:rsidRPr="0041602B" w:rsidTr="00B11898">
        <w:trPr>
          <w:trHeight w:val="630"/>
        </w:trPr>
        <w:tc>
          <w:tcPr>
            <w:tcW w:w="1240" w:type="dxa"/>
            <w:vMerge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6EF9" w:rsidRPr="006D448E" w:rsidRDefault="00236EF9" w:rsidP="00B11898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6D448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就业指导</w:t>
            </w:r>
          </w:p>
        </w:tc>
        <w:tc>
          <w:tcPr>
            <w:tcW w:w="5836" w:type="dxa"/>
            <w:vAlign w:val="center"/>
          </w:tcPr>
          <w:p w:rsidR="00236EF9" w:rsidRPr="0041602B" w:rsidRDefault="00236EF9" w:rsidP="00B11898">
            <w:pPr>
              <w:rPr>
                <w:rFonts w:asciiTheme="majorEastAsia" w:eastAsiaTheme="majorEastAsia" w:hAnsiTheme="majorEastAsia"/>
              </w:rPr>
            </w:pPr>
            <w:r w:rsidRPr="0041602B">
              <w:rPr>
                <w:rFonts w:asciiTheme="majorEastAsia" w:eastAsiaTheme="majorEastAsia" w:hAnsiTheme="majorEastAsia" w:hint="eastAsia"/>
              </w:rPr>
              <w:t>学院各专业相关就业指南、往年就业数据、研究报表、就业推荐表格下载等相关信息；提供各专业相关就业招聘信息</w:t>
            </w:r>
          </w:p>
        </w:tc>
      </w:tr>
    </w:tbl>
    <w:p w:rsidR="006D448E" w:rsidRPr="006D448E" w:rsidRDefault="006D448E" w:rsidP="006D448E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6D448E" w:rsidRPr="006D448E" w:rsidSect="00B2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32" w:rsidRDefault="00072432" w:rsidP="00211C82">
      <w:r>
        <w:separator/>
      </w:r>
    </w:p>
  </w:endnote>
  <w:endnote w:type="continuationSeparator" w:id="0">
    <w:p w:rsidR="00072432" w:rsidRDefault="00072432" w:rsidP="0021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32" w:rsidRDefault="00072432" w:rsidP="00211C82">
      <w:r>
        <w:separator/>
      </w:r>
    </w:p>
  </w:footnote>
  <w:footnote w:type="continuationSeparator" w:id="0">
    <w:p w:rsidR="00072432" w:rsidRDefault="00072432" w:rsidP="00211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48E"/>
    <w:rsid w:val="00056E87"/>
    <w:rsid w:val="00072432"/>
    <w:rsid w:val="001314DD"/>
    <w:rsid w:val="00195074"/>
    <w:rsid w:val="00211C82"/>
    <w:rsid w:val="00236EF9"/>
    <w:rsid w:val="002667E5"/>
    <w:rsid w:val="00281E34"/>
    <w:rsid w:val="002A1F9C"/>
    <w:rsid w:val="00325566"/>
    <w:rsid w:val="003C73B4"/>
    <w:rsid w:val="004414A0"/>
    <w:rsid w:val="004975C6"/>
    <w:rsid w:val="004A72F4"/>
    <w:rsid w:val="005111AC"/>
    <w:rsid w:val="00525B38"/>
    <w:rsid w:val="0055391A"/>
    <w:rsid w:val="005E2E1F"/>
    <w:rsid w:val="00625031"/>
    <w:rsid w:val="006C5C5A"/>
    <w:rsid w:val="006C7637"/>
    <w:rsid w:val="006D448E"/>
    <w:rsid w:val="007D3658"/>
    <w:rsid w:val="00814E65"/>
    <w:rsid w:val="0081543E"/>
    <w:rsid w:val="00831F39"/>
    <w:rsid w:val="00A36DE7"/>
    <w:rsid w:val="00A649B5"/>
    <w:rsid w:val="00A77919"/>
    <w:rsid w:val="00AC2296"/>
    <w:rsid w:val="00AC747A"/>
    <w:rsid w:val="00B26990"/>
    <w:rsid w:val="00B91A46"/>
    <w:rsid w:val="00C82BBC"/>
    <w:rsid w:val="00C93912"/>
    <w:rsid w:val="00CD7832"/>
    <w:rsid w:val="00D22CED"/>
    <w:rsid w:val="00D36839"/>
    <w:rsid w:val="00D4352E"/>
    <w:rsid w:val="00D46F92"/>
    <w:rsid w:val="00DA25DF"/>
    <w:rsid w:val="00F2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D44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D448E"/>
  </w:style>
  <w:style w:type="paragraph" w:styleId="a4">
    <w:name w:val="header"/>
    <w:basedOn w:val="a"/>
    <w:link w:val="Char0"/>
    <w:uiPriority w:val="99"/>
    <w:semiHidden/>
    <w:unhideWhenUsed/>
    <w:rsid w:val="00211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1C8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1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1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7</Pages>
  <Words>446</Words>
  <Characters>2543</Characters>
  <Application>Microsoft Office Word</Application>
  <DocSecurity>0</DocSecurity>
  <Lines>21</Lines>
  <Paragraphs>5</Paragraphs>
  <ScaleCrop>false</ScaleCrop>
  <Company>Sky123.Org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李艳红</cp:lastModifiedBy>
  <cp:revision>13</cp:revision>
  <dcterms:created xsi:type="dcterms:W3CDTF">2017-03-31T01:53:00Z</dcterms:created>
  <dcterms:modified xsi:type="dcterms:W3CDTF">2017-04-18T10:55:00Z</dcterms:modified>
</cp:coreProperties>
</file>